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534C" w:rsidRPr="00357136" w:rsidRDefault="0023534C" w:rsidP="0023534C">
      <w:pPr>
        <w:tabs>
          <w:tab w:val="left" w:pos="6804"/>
        </w:tabs>
        <w:jc w:val="right"/>
        <w:rPr>
          <w:rFonts w:ascii="Arial" w:hAnsi="Arial" w:cs="Arial"/>
          <w:color w:val="000000" w:themeColor="text1"/>
          <w:sz w:val="22"/>
          <w:szCs w:val="22"/>
        </w:rPr>
      </w:pPr>
      <w:r w:rsidRPr="00357136">
        <w:rPr>
          <w:rFonts w:ascii="Arial" w:hAnsi="Arial" w:cs="Arial"/>
          <w:color w:val="000000" w:themeColor="text1"/>
          <w:sz w:val="22"/>
          <w:szCs w:val="22"/>
        </w:rPr>
        <w:t>Приложение №</w:t>
      </w:r>
      <w:r w:rsidR="002B4ED0">
        <w:rPr>
          <w:rFonts w:ascii="Arial" w:hAnsi="Arial" w:cs="Arial"/>
          <w:color w:val="000000" w:themeColor="text1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11"/>
            </w:textInput>
          </w:ffData>
        </w:fldChar>
      </w:r>
      <w:r w:rsidR="002B4ED0">
        <w:rPr>
          <w:rFonts w:ascii="Arial" w:hAnsi="Arial" w:cs="Arial"/>
          <w:color w:val="000000" w:themeColor="text1"/>
          <w:sz w:val="22"/>
          <w:szCs w:val="22"/>
        </w:rPr>
        <w:instrText xml:space="preserve"> FORMTEXT </w:instrText>
      </w:r>
      <w:r w:rsidR="002B4ED0">
        <w:rPr>
          <w:rFonts w:ascii="Arial" w:hAnsi="Arial" w:cs="Arial"/>
          <w:color w:val="000000" w:themeColor="text1"/>
          <w:sz w:val="22"/>
          <w:szCs w:val="22"/>
        </w:rPr>
      </w:r>
      <w:r w:rsidR="002B4ED0">
        <w:rPr>
          <w:rFonts w:ascii="Arial" w:hAnsi="Arial" w:cs="Arial"/>
          <w:color w:val="000000" w:themeColor="text1"/>
          <w:sz w:val="22"/>
          <w:szCs w:val="22"/>
        </w:rPr>
        <w:fldChar w:fldCharType="separate"/>
      </w:r>
      <w:r w:rsidR="002B4ED0">
        <w:rPr>
          <w:rFonts w:ascii="Arial" w:hAnsi="Arial" w:cs="Arial"/>
          <w:noProof/>
          <w:color w:val="000000" w:themeColor="text1"/>
          <w:sz w:val="22"/>
          <w:szCs w:val="22"/>
        </w:rPr>
        <w:t>11</w:t>
      </w:r>
      <w:r w:rsidR="002B4ED0">
        <w:rPr>
          <w:rFonts w:ascii="Arial" w:hAnsi="Arial" w:cs="Arial"/>
          <w:color w:val="000000" w:themeColor="text1"/>
          <w:sz w:val="22"/>
          <w:szCs w:val="22"/>
        </w:rPr>
        <w:fldChar w:fldCharType="end"/>
      </w:r>
      <w:r w:rsidRPr="00357136">
        <w:rPr>
          <w:rFonts w:ascii="Arial" w:hAnsi="Arial" w:cs="Arial"/>
          <w:color w:val="000000" w:themeColor="text1"/>
          <w:sz w:val="22"/>
          <w:szCs w:val="22"/>
        </w:rPr>
        <w:t xml:space="preserve"> к </w:t>
      </w:r>
      <w:r w:rsidRPr="00357136">
        <w:rPr>
          <w:rFonts w:ascii="Arial" w:hAnsi="Arial" w:cs="Arial"/>
          <w:color w:val="000000" w:themeColor="text1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договору "/>
            </w:textInput>
          </w:ffData>
        </w:fldChar>
      </w:r>
      <w:r w:rsidRPr="00357136">
        <w:rPr>
          <w:rFonts w:ascii="Arial" w:hAnsi="Arial" w:cs="Arial"/>
          <w:color w:val="000000" w:themeColor="text1"/>
          <w:sz w:val="22"/>
          <w:szCs w:val="22"/>
        </w:rPr>
        <w:instrText xml:space="preserve"> FORMTEXT </w:instrText>
      </w:r>
      <w:r w:rsidRPr="00357136">
        <w:rPr>
          <w:rFonts w:ascii="Arial" w:hAnsi="Arial" w:cs="Arial"/>
          <w:color w:val="000000" w:themeColor="text1"/>
          <w:sz w:val="22"/>
          <w:szCs w:val="22"/>
        </w:rPr>
      </w:r>
      <w:r w:rsidRPr="00357136">
        <w:rPr>
          <w:rFonts w:ascii="Arial" w:hAnsi="Arial" w:cs="Arial"/>
          <w:color w:val="000000" w:themeColor="text1"/>
          <w:sz w:val="22"/>
          <w:szCs w:val="22"/>
        </w:rPr>
        <w:fldChar w:fldCharType="separate"/>
      </w:r>
      <w:r w:rsidRPr="00357136">
        <w:rPr>
          <w:rFonts w:ascii="Arial" w:hAnsi="Arial" w:cs="Arial"/>
          <w:noProof/>
          <w:color w:val="000000" w:themeColor="text1"/>
          <w:sz w:val="22"/>
          <w:szCs w:val="22"/>
        </w:rPr>
        <w:t xml:space="preserve">договору </w:t>
      </w:r>
      <w:r w:rsidRPr="00357136">
        <w:rPr>
          <w:rFonts w:ascii="Arial" w:hAnsi="Arial" w:cs="Arial"/>
          <w:color w:val="000000" w:themeColor="text1"/>
          <w:sz w:val="22"/>
          <w:szCs w:val="22"/>
        </w:rPr>
        <w:fldChar w:fldCharType="end"/>
      </w:r>
      <w:r w:rsidRPr="00357136">
        <w:rPr>
          <w:rFonts w:ascii="Arial" w:hAnsi="Arial" w:cs="Arial"/>
          <w:color w:val="000000" w:themeColor="text1"/>
          <w:sz w:val="22"/>
          <w:szCs w:val="22"/>
        </w:rPr>
        <w:t xml:space="preserve"> № </w:t>
      </w:r>
      <w:r w:rsidRPr="00357136">
        <w:rPr>
          <w:rFonts w:ascii="Arial" w:hAnsi="Arial" w:cs="Arial"/>
          <w:color w:val="000000" w:themeColor="text1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57136">
        <w:rPr>
          <w:rFonts w:ascii="Arial" w:hAnsi="Arial" w:cs="Arial"/>
          <w:color w:val="000000" w:themeColor="text1"/>
          <w:sz w:val="22"/>
          <w:szCs w:val="22"/>
        </w:rPr>
        <w:instrText xml:space="preserve"> FORMTEXT </w:instrText>
      </w:r>
      <w:r w:rsidRPr="00357136">
        <w:rPr>
          <w:rFonts w:ascii="Arial" w:hAnsi="Arial" w:cs="Arial"/>
          <w:color w:val="000000" w:themeColor="text1"/>
          <w:sz w:val="22"/>
          <w:szCs w:val="22"/>
        </w:rPr>
      </w:r>
      <w:r w:rsidRPr="00357136">
        <w:rPr>
          <w:rFonts w:ascii="Arial" w:hAnsi="Arial" w:cs="Arial"/>
          <w:color w:val="000000" w:themeColor="text1"/>
          <w:sz w:val="22"/>
          <w:szCs w:val="22"/>
        </w:rPr>
        <w:fldChar w:fldCharType="separate"/>
      </w:r>
      <w:r w:rsidRPr="00357136">
        <w:rPr>
          <w:rFonts w:ascii="Arial" w:hAnsi="Arial" w:cs="Arial"/>
          <w:noProof/>
          <w:color w:val="000000" w:themeColor="text1"/>
          <w:sz w:val="22"/>
          <w:szCs w:val="22"/>
        </w:rPr>
        <w:t> </w:t>
      </w:r>
      <w:r w:rsidRPr="00357136">
        <w:rPr>
          <w:rFonts w:ascii="Arial" w:hAnsi="Arial" w:cs="Arial"/>
          <w:noProof/>
          <w:color w:val="000000" w:themeColor="text1"/>
          <w:sz w:val="22"/>
          <w:szCs w:val="22"/>
        </w:rPr>
        <w:t> </w:t>
      </w:r>
      <w:r w:rsidRPr="00357136">
        <w:rPr>
          <w:rFonts w:ascii="Arial" w:hAnsi="Arial" w:cs="Arial"/>
          <w:noProof/>
          <w:color w:val="000000" w:themeColor="text1"/>
          <w:sz w:val="22"/>
          <w:szCs w:val="22"/>
        </w:rPr>
        <w:t> </w:t>
      </w:r>
      <w:r w:rsidRPr="00357136">
        <w:rPr>
          <w:rFonts w:ascii="Arial" w:hAnsi="Arial" w:cs="Arial"/>
          <w:noProof/>
          <w:color w:val="000000" w:themeColor="text1"/>
          <w:sz w:val="22"/>
          <w:szCs w:val="22"/>
        </w:rPr>
        <w:t> </w:t>
      </w:r>
      <w:r w:rsidRPr="00357136">
        <w:rPr>
          <w:rFonts w:ascii="Arial" w:hAnsi="Arial" w:cs="Arial"/>
          <w:noProof/>
          <w:color w:val="000000" w:themeColor="text1"/>
          <w:sz w:val="22"/>
          <w:szCs w:val="22"/>
        </w:rPr>
        <w:t> </w:t>
      </w:r>
      <w:r w:rsidRPr="00357136">
        <w:rPr>
          <w:rFonts w:ascii="Arial" w:hAnsi="Arial" w:cs="Arial"/>
          <w:color w:val="000000" w:themeColor="text1"/>
          <w:sz w:val="22"/>
          <w:szCs w:val="22"/>
        </w:rPr>
        <w:fldChar w:fldCharType="end"/>
      </w:r>
    </w:p>
    <w:p w:rsidR="0023534C" w:rsidRPr="00357136" w:rsidRDefault="0023534C" w:rsidP="0023534C">
      <w:pPr>
        <w:ind w:left="5103"/>
        <w:rPr>
          <w:rFonts w:ascii="Arial" w:hAnsi="Arial" w:cs="Arial"/>
          <w:b/>
          <w:caps/>
          <w:color w:val="000000" w:themeColor="text1"/>
          <w:sz w:val="22"/>
          <w:szCs w:val="22"/>
          <w:lang w:eastAsia="en-US"/>
        </w:rPr>
      </w:pPr>
    </w:p>
    <w:p w:rsidR="0023534C" w:rsidRPr="00357136" w:rsidRDefault="0023534C" w:rsidP="0023534C">
      <w:pPr>
        <w:ind w:left="567"/>
        <w:jc w:val="center"/>
        <w:rPr>
          <w:rFonts w:ascii="Arial" w:hAnsi="Arial" w:cs="Arial"/>
          <w:b/>
          <w:caps/>
          <w:color w:val="000000" w:themeColor="text1"/>
          <w:sz w:val="22"/>
          <w:szCs w:val="22"/>
        </w:rPr>
      </w:pPr>
      <w:r w:rsidRPr="00357136">
        <w:rPr>
          <w:rFonts w:ascii="Arial" w:hAnsi="Arial" w:cs="Arial"/>
          <w:b/>
          <w:caps/>
          <w:color w:val="000000" w:themeColor="text1"/>
          <w:sz w:val="22"/>
          <w:szCs w:val="22"/>
        </w:rPr>
        <w:t>ШТРАФЫ за НАРУШЕНИЯ В ОБЛАСТИ Пропускного и внутриобъектового режимов заказчика</w:t>
      </w:r>
    </w:p>
    <w:p w:rsidR="0023534C" w:rsidRPr="00357136" w:rsidRDefault="0023534C" w:rsidP="0023534C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357136">
        <w:rPr>
          <w:rFonts w:ascii="Arial" w:hAnsi="Arial" w:cs="Arial"/>
          <w:color w:val="000000" w:themeColor="text1"/>
          <w:sz w:val="22"/>
          <w:szCs w:val="22"/>
        </w:rPr>
        <w:t xml:space="preserve">Нижеуказанные штрафы применяются в случае нарушений </w:t>
      </w:r>
      <w:r w:rsidRPr="00357136">
        <w:rPr>
          <w:rFonts w:ascii="Arial" w:eastAsia="MS Mincho" w:hAnsi="Arial" w:cs="Arial"/>
          <w:color w:val="000000" w:themeColor="text1"/>
          <w:sz w:val="22"/>
          <w:szCs w:val="22"/>
        </w:rPr>
        <w:t>в области пропускного и внутриобъектового режимов</w:t>
      </w:r>
      <w:r w:rsidRPr="00357136">
        <w:rPr>
          <w:rFonts w:ascii="Arial" w:hAnsi="Arial" w:cs="Arial"/>
          <w:color w:val="000000" w:themeColor="text1"/>
          <w:sz w:val="22"/>
          <w:szCs w:val="22"/>
        </w:rPr>
        <w:t>, допущенных Исполнителем, Субисполнителем(ями), третьими лицами</w:t>
      </w:r>
      <w:r w:rsidRPr="00357136">
        <w:rPr>
          <w:rFonts w:ascii="Arial" w:hAnsi="Arial" w:cs="Arial"/>
          <w:caps/>
          <w:color w:val="000000" w:themeColor="text1"/>
          <w:sz w:val="22"/>
          <w:szCs w:val="22"/>
        </w:rPr>
        <w:t>,</w:t>
      </w:r>
      <w:r w:rsidRPr="00357136">
        <w:rPr>
          <w:rFonts w:ascii="Arial" w:hAnsi="Arial" w:cs="Arial"/>
          <w:color w:val="000000" w:themeColor="text1"/>
          <w:sz w:val="22"/>
          <w:szCs w:val="22"/>
        </w:rPr>
        <w:t xml:space="preserve"> привлеченными Исполнителем для </w:t>
      </w:r>
      <w:r w:rsidR="004E480B">
        <w:rPr>
          <w:rFonts w:ascii="Arial" w:hAnsi="Arial" w:cs="Arial"/>
          <w:color w:val="000000" w:themeColor="text1"/>
          <w:sz w:val="22"/>
          <w:szCs w:val="22"/>
        </w:rPr>
        <w:t>оказания</w:t>
      </w:r>
      <w:r w:rsidRPr="00357136">
        <w:rPr>
          <w:rFonts w:ascii="Arial" w:hAnsi="Arial" w:cs="Arial"/>
          <w:color w:val="000000" w:themeColor="text1"/>
          <w:sz w:val="22"/>
          <w:szCs w:val="22"/>
        </w:rPr>
        <w:t xml:space="preserve"> Услуг.</w:t>
      </w:r>
    </w:p>
    <w:p w:rsidR="00B77455" w:rsidRPr="00357136" w:rsidRDefault="00B77455" w:rsidP="00B77455">
      <w:pPr>
        <w:jc w:val="both"/>
        <w:rPr>
          <w:rFonts w:ascii="Arial" w:hAnsi="Arial" w:cs="Arial"/>
          <w:b/>
          <w:caps/>
          <w:color w:val="000000" w:themeColor="text1"/>
          <w:sz w:val="22"/>
          <w:szCs w:val="22"/>
        </w:rPr>
      </w:pPr>
    </w:p>
    <w:tbl>
      <w:tblPr>
        <w:tblW w:w="105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4394"/>
        <w:gridCol w:w="709"/>
        <w:gridCol w:w="711"/>
        <w:gridCol w:w="669"/>
        <w:gridCol w:w="1028"/>
        <w:gridCol w:w="887"/>
        <w:gridCol w:w="425"/>
        <w:gridCol w:w="1057"/>
      </w:tblGrid>
      <w:tr w:rsidR="00357136" w:rsidRPr="00357136" w:rsidTr="00357136">
        <w:trPr>
          <w:trHeight w:val="428"/>
          <w:tblHeader/>
          <w:jc w:val="center"/>
        </w:trPr>
        <w:tc>
          <w:tcPr>
            <w:tcW w:w="704" w:type="dxa"/>
            <w:vMerge w:val="restart"/>
            <w:shd w:val="clear" w:color="auto" w:fill="auto"/>
            <w:vAlign w:val="center"/>
            <w:hideMark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№ п.п</w:t>
            </w:r>
          </w:p>
        </w:tc>
        <w:tc>
          <w:tcPr>
            <w:tcW w:w="4394" w:type="dxa"/>
            <w:vMerge w:val="restart"/>
            <w:shd w:val="clear" w:color="auto" w:fill="auto"/>
            <w:vAlign w:val="center"/>
            <w:hideMark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НАРУШЕНИЕ</w:t>
            </w:r>
          </w:p>
        </w:tc>
        <w:tc>
          <w:tcPr>
            <w:tcW w:w="5486" w:type="dxa"/>
            <w:gridSpan w:val="7"/>
            <w:shd w:val="clear" w:color="auto" w:fill="auto"/>
            <w:vAlign w:val="center"/>
            <w:hideMark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Цена договора с учетом НДС, тыс. руб.</w:t>
            </w:r>
          </w:p>
        </w:tc>
      </w:tr>
      <w:tr w:rsidR="00357136" w:rsidRPr="00357136" w:rsidTr="00357136">
        <w:trPr>
          <w:trHeight w:val="705"/>
          <w:tblHeader/>
          <w:jc w:val="center"/>
        </w:trPr>
        <w:tc>
          <w:tcPr>
            <w:tcW w:w="704" w:type="dxa"/>
            <w:vMerge/>
            <w:shd w:val="clear" w:color="auto" w:fill="auto"/>
            <w:hideMark/>
          </w:tcPr>
          <w:p w:rsidR="00B77455" w:rsidRPr="00357136" w:rsidRDefault="00B77455" w:rsidP="00CB5A98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vMerge/>
            <w:shd w:val="clear" w:color="auto" w:fill="auto"/>
            <w:hideMark/>
          </w:tcPr>
          <w:p w:rsidR="00B77455" w:rsidRPr="00357136" w:rsidRDefault="00B77455" w:rsidP="00CB5A98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77455" w:rsidRPr="00357136" w:rsidRDefault="00B77455" w:rsidP="00CB5A98">
            <w:pPr>
              <w:ind w:left="-101" w:right="-153"/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≤100</w:t>
            </w:r>
          </w:p>
        </w:tc>
        <w:tc>
          <w:tcPr>
            <w:tcW w:w="711" w:type="dxa"/>
            <w:shd w:val="clear" w:color="auto" w:fill="auto"/>
            <w:vAlign w:val="center"/>
            <w:hideMark/>
          </w:tcPr>
          <w:p w:rsidR="00B77455" w:rsidRPr="00357136" w:rsidRDefault="00B77455" w:rsidP="00CB5A98">
            <w:pPr>
              <w:ind w:left="-101" w:right="-109"/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&gt;100</w:t>
            </w:r>
            <w:bookmarkStart w:id="0" w:name="Приложение44"/>
            <w:bookmarkEnd w:id="0"/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 -</w:t>
            </w:r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br/>
              <w:t>500</w:t>
            </w:r>
          </w:p>
        </w:tc>
        <w:tc>
          <w:tcPr>
            <w:tcW w:w="669" w:type="dxa"/>
            <w:shd w:val="clear" w:color="auto" w:fill="auto"/>
            <w:vAlign w:val="center"/>
            <w:hideMark/>
          </w:tcPr>
          <w:p w:rsidR="00B77455" w:rsidRPr="00357136" w:rsidRDefault="00B77455" w:rsidP="00CB5A98">
            <w:pPr>
              <w:ind w:left="-103" w:right="-106"/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&gt;500 -</w:t>
            </w:r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br/>
              <w:t>2 000</w:t>
            </w:r>
          </w:p>
        </w:tc>
        <w:tc>
          <w:tcPr>
            <w:tcW w:w="1028" w:type="dxa"/>
            <w:shd w:val="clear" w:color="auto" w:fill="auto"/>
            <w:vAlign w:val="center"/>
            <w:hideMark/>
          </w:tcPr>
          <w:p w:rsidR="00B77455" w:rsidRPr="00357136" w:rsidRDefault="00B77455" w:rsidP="00CB5A98">
            <w:pPr>
              <w:ind w:left="-62" w:right="-151"/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&gt;2 000 -</w:t>
            </w:r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br/>
              <w:t>20 000</w:t>
            </w:r>
          </w:p>
        </w:tc>
        <w:tc>
          <w:tcPr>
            <w:tcW w:w="1312" w:type="dxa"/>
            <w:gridSpan w:val="2"/>
            <w:shd w:val="clear" w:color="auto" w:fill="auto"/>
            <w:vAlign w:val="center"/>
            <w:hideMark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&gt;20 000 -</w:t>
            </w:r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br/>
              <w:t>50 000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B77455" w:rsidRPr="00357136" w:rsidRDefault="00B77455" w:rsidP="00CB5A98">
            <w:pPr>
              <w:ind w:right="-10"/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&gt;50 000</w:t>
            </w:r>
          </w:p>
        </w:tc>
      </w:tr>
      <w:tr w:rsidR="00357136" w:rsidRPr="00357136" w:rsidTr="00357136">
        <w:trPr>
          <w:trHeight w:val="379"/>
          <w:tblHeader/>
          <w:jc w:val="center"/>
        </w:trPr>
        <w:tc>
          <w:tcPr>
            <w:tcW w:w="704" w:type="dxa"/>
            <w:vMerge/>
            <w:shd w:val="clear" w:color="auto" w:fill="auto"/>
            <w:hideMark/>
          </w:tcPr>
          <w:p w:rsidR="00B77455" w:rsidRPr="00357136" w:rsidRDefault="00B77455" w:rsidP="00CB5A98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vMerge/>
            <w:shd w:val="clear" w:color="auto" w:fill="auto"/>
            <w:hideMark/>
          </w:tcPr>
          <w:p w:rsidR="00B77455" w:rsidRPr="00357136" w:rsidRDefault="00B77455" w:rsidP="00CB5A98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5486" w:type="dxa"/>
            <w:gridSpan w:val="7"/>
            <w:shd w:val="clear" w:color="auto" w:fill="auto"/>
            <w:hideMark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Сумма штрафа, взыскиваемого за каждое выявленное  нарушение (тыс. руб.), </w:t>
            </w:r>
            <w:r w:rsid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                          </w:t>
            </w:r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НДС не облагается</w:t>
            </w:r>
          </w:p>
        </w:tc>
      </w:tr>
      <w:tr w:rsidR="00357136" w:rsidRPr="00357136" w:rsidTr="00357136">
        <w:trPr>
          <w:trHeight w:val="64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shd w:val="clear" w:color="auto" w:fill="auto"/>
          </w:tcPr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bidi="ru-RU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  <w:lang w:bidi="ru-RU"/>
              </w:rPr>
              <w:t xml:space="preserve">Пронос, провоз, хранение на территории Заказчика работниками (представителями) </w:t>
            </w:r>
            <w:r w:rsidRPr="00357136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 xml:space="preserve">Исполнителя/Субисполнителя </w:t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  <w:lang w:bidi="ru-RU"/>
              </w:rPr>
              <w:t>веществ, вызывающих алкогольное, наркотическое или иное токсическое опьянение, некурительных табачных смесей (насвай), курительных смесей, в состав которой входят синтетические вещества (спайс) (за каждый факт).</w:t>
            </w:r>
          </w:p>
        </w:tc>
        <w:tc>
          <w:tcPr>
            <w:tcW w:w="5486" w:type="dxa"/>
            <w:gridSpan w:val="7"/>
            <w:shd w:val="clear" w:color="auto" w:fill="auto"/>
            <w:vAlign w:val="center"/>
          </w:tcPr>
          <w:p w:rsidR="00B77455" w:rsidRPr="00357136" w:rsidRDefault="00FE59E7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100</w:t>
            </w:r>
          </w:p>
        </w:tc>
      </w:tr>
      <w:tr w:rsidR="00357136" w:rsidRPr="00357136" w:rsidTr="00357136">
        <w:trPr>
          <w:trHeight w:val="64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shd w:val="clear" w:color="auto" w:fill="auto"/>
          </w:tcPr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bidi="ru-RU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  <w:lang w:bidi="ru-RU"/>
              </w:rPr>
              <w:t xml:space="preserve">Появление работников (представителей) </w:t>
            </w:r>
            <w:r w:rsidRPr="00357136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 xml:space="preserve">Исполнителя/Субисполнителя </w:t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  <w:lang w:bidi="ru-RU"/>
              </w:rPr>
              <w:t>на территории Заказчика в состоянии алкогольного, наркотического или иного токсического опьянения, либо отказ от прохождения освидетельствования на алкогольное/наркотическое/токсическое опьянение при наличии их явных признаков (за каждый факт).</w:t>
            </w:r>
          </w:p>
        </w:tc>
        <w:tc>
          <w:tcPr>
            <w:tcW w:w="5486" w:type="dxa"/>
            <w:gridSpan w:val="7"/>
            <w:shd w:val="clear" w:color="auto" w:fill="auto"/>
            <w:vAlign w:val="center"/>
          </w:tcPr>
          <w:p w:rsidR="00B77455" w:rsidRPr="00357136" w:rsidRDefault="00FE59E7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100</w:t>
            </w:r>
          </w:p>
        </w:tc>
      </w:tr>
      <w:tr w:rsidR="00357136" w:rsidRPr="00357136" w:rsidTr="00357136">
        <w:trPr>
          <w:trHeight w:val="64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shd w:val="clear" w:color="auto" w:fill="auto"/>
          </w:tcPr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Совершение работниками (представителями) </w:t>
            </w:r>
            <w:r w:rsidRPr="00357136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 xml:space="preserve">Исполнителя/Субисполнителя </w:t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проноса/ провоза, а равно попытка провоза/ проноса с/на территории(ю) Заказчика товароматериальных ценностей (ТМЦ), горюче-смазочных материалов (ГСМ) без товарно-сопроводительных документов и/или по товарно-сопроводительным документам, в которых отсутствует/имеются некорректные исправления/неверно указано:</w:t>
            </w:r>
          </w:p>
          <w:p w:rsidR="00B77455" w:rsidRPr="00357136" w:rsidRDefault="00B77455" w:rsidP="00357136">
            <w:pPr>
              <w:pStyle w:val="a6"/>
              <w:numPr>
                <w:ilvl w:val="0"/>
                <w:numId w:val="29"/>
              </w:numPr>
              <w:ind w:left="273" w:right="33" w:hanging="142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предмет, наименование, кол-во ТМЦ и ГСМ;</w:t>
            </w:r>
          </w:p>
          <w:p w:rsidR="00B77455" w:rsidRPr="00357136" w:rsidRDefault="00B77455" w:rsidP="00357136">
            <w:pPr>
              <w:pStyle w:val="a6"/>
              <w:numPr>
                <w:ilvl w:val="0"/>
                <w:numId w:val="29"/>
              </w:numPr>
              <w:ind w:left="273" w:right="33" w:hanging="142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отправитель;</w:t>
            </w:r>
          </w:p>
          <w:p w:rsidR="00B77455" w:rsidRPr="00357136" w:rsidRDefault="00B77455" w:rsidP="00357136">
            <w:pPr>
              <w:pStyle w:val="a6"/>
              <w:numPr>
                <w:ilvl w:val="0"/>
                <w:numId w:val="29"/>
              </w:numPr>
              <w:ind w:left="273" w:right="33" w:hanging="142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пункт погрузки/разгрузки;</w:t>
            </w:r>
          </w:p>
          <w:p w:rsidR="00B77455" w:rsidRPr="00357136" w:rsidRDefault="00B77455" w:rsidP="00357136">
            <w:pPr>
              <w:pStyle w:val="a6"/>
              <w:numPr>
                <w:ilvl w:val="0"/>
                <w:numId w:val="29"/>
              </w:numPr>
              <w:ind w:left="273" w:right="33" w:hanging="142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ФИО и подпись лица, сдавшего груз.</w:t>
            </w:r>
          </w:p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i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i/>
                <w:color w:val="000000" w:themeColor="text1"/>
                <w:sz w:val="22"/>
                <w:szCs w:val="22"/>
              </w:rPr>
              <w:t>Примечание:</w:t>
            </w:r>
          </w:p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Под корректными исправлениями понимается внесение исправлений в исходный документ, лицом, его оформившим, путем зачеркивания ошибочной информации, внесения верной записи, с простановкой пометки: «Исправлено» или «Исправленному верить» с указанием даты внесения исправлений.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20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66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40</w:t>
            </w:r>
          </w:p>
        </w:tc>
        <w:tc>
          <w:tcPr>
            <w:tcW w:w="1028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60</w:t>
            </w:r>
          </w:p>
        </w:tc>
        <w:tc>
          <w:tcPr>
            <w:tcW w:w="1312" w:type="dxa"/>
            <w:gridSpan w:val="2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80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100</w:t>
            </w:r>
          </w:p>
        </w:tc>
      </w:tr>
      <w:tr w:rsidR="00357136" w:rsidRPr="00357136" w:rsidTr="00357136">
        <w:trPr>
          <w:trHeight w:val="64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Отсутствие на территории Заказчика у водителя </w:t>
            </w:r>
            <w:r w:rsidRPr="00357136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 xml:space="preserve">Исполнителя/Субисполнителя </w:t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путевого листа либо отсутствие в путевом листе обязательных сведений, предусмотренных законодательством.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20</w:t>
            </w:r>
          </w:p>
        </w:tc>
        <w:tc>
          <w:tcPr>
            <w:tcW w:w="66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1028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50</w:t>
            </w:r>
          </w:p>
        </w:tc>
        <w:tc>
          <w:tcPr>
            <w:tcW w:w="1312" w:type="dxa"/>
            <w:gridSpan w:val="2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80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100</w:t>
            </w:r>
          </w:p>
        </w:tc>
      </w:tr>
      <w:tr w:rsidR="00357136" w:rsidRPr="00357136" w:rsidTr="00357136">
        <w:trPr>
          <w:trHeight w:val="64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shd w:val="clear" w:color="auto" w:fill="auto"/>
          </w:tcPr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Отсутствие на территории Заказчика у работников (представителей) и/или транспорта </w:t>
            </w:r>
            <w:r w:rsidRPr="00357136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 xml:space="preserve">Исполнителя/Субисполнителя </w:t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оформленных в установленном Заказчиком порядке пропусков/допусков</w:t>
            </w:r>
          </w:p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(в т. ч. нахождение на территории Заказчика с недействительным пропуском, передача личного пропуска другим лицам, допуск на территорию Заказчика по личному пропуску иных </w:t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lastRenderedPageBreak/>
              <w:t>лиц, подделка пропускных документов (использование чужих либо просроченных пропусков), предоставление заведомо недостоверных сведений в заявке на пропуск, самовольное внесение изменений в выданный пропуск, утеря или порча пропусков).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lastRenderedPageBreak/>
              <w:t>5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66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20</w:t>
            </w:r>
          </w:p>
        </w:tc>
        <w:tc>
          <w:tcPr>
            <w:tcW w:w="1028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40</w:t>
            </w:r>
          </w:p>
        </w:tc>
        <w:tc>
          <w:tcPr>
            <w:tcW w:w="1312" w:type="dxa"/>
            <w:gridSpan w:val="2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60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80</w:t>
            </w:r>
          </w:p>
        </w:tc>
      </w:tr>
      <w:tr w:rsidR="00357136" w:rsidRPr="00357136" w:rsidTr="00357136">
        <w:trPr>
          <w:trHeight w:val="64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Невыполнение законного требования представителя Заказчика или охраны о передаче для проверки документов, дающих право нахождения на территории Заказчика, а равно отказ в предоставлении к осмотру транспортного средства и/или личных вещей, парковка транспортных средств в неположенном месте.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66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20</w:t>
            </w:r>
          </w:p>
        </w:tc>
        <w:tc>
          <w:tcPr>
            <w:tcW w:w="1028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1312" w:type="dxa"/>
            <w:gridSpan w:val="2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40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50</w:t>
            </w:r>
          </w:p>
        </w:tc>
      </w:tr>
      <w:tr w:rsidR="00357136" w:rsidRPr="00357136" w:rsidTr="00357136">
        <w:trPr>
          <w:trHeight w:val="64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Самовольный проезд поста охраны без прохождения проверки в нарушение Регламента бизнес-процесса</w:t>
            </w:r>
            <w:r w:rsid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                                 </w:t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ООО «РН-Пурнефтегаз»</w:t>
            </w:r>
          </w:p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№ П3-11.01 РГБП-0006 ЮЛ-094 «Порядок взаимодействия подрядных, сторонних организаций, охранного предприятия, работников Общества при организации пропускного и внутриобъектового режимов».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20</w:t>
            </w:r>
          </w:p>
        </w:tc>
        <w:tc>
          <w:tcPr>
            <w:tcW w:w="66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1028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50</w:t>
            </w:r>
          </w:p>
        </w:tc>
        <w:tc>
          <w:tcPr>
            <w:tcW w:w="1312" w:type="dxa"/>
            <w:gridSpan w:val="2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80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100</w:t>
            </w:r>
          </w:p>
        </w:tc>
      </w:tr>
      <w:tr w:rsidR="00357136" w:rsidRPr="00357136" w:rsidTr="00357136">
        <w:trPr>
          <w:trHeight w:val="64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shd w:val="clear" w:color="auto" w:fill="auto"/>
          </w:tcPr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bidi="ru-RU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  <w:lang w:bidi="ru-RU"/>
              </w:rPr>
              <w:t>Несанкционированная фото/видеосъёмка на охраняемых территориях Заказчика.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20</w:t>
            </w:r>
          </w:p>
        </w:tc>
        <w:tc>
          <w:tcPr>
            <w:tcW w:w="66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1028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50</w:t>
            </w:r>
          </w:p>
        </w:tc>
        <w:tc>
          <w:tcPr>
            <w:tcW w:w="1312" w:type="dxa"/>
            <w:gridSpan w:val="2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80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100</w:t>
            </w:r>
          </w:p>
        </w:tc>
      </w:tr>
      <w:tr w:rsidR="00357136" w:rsidRPr="00357136" w:rsidTr="00357136">
        <w:trPr>
          <w:trHeight w:val="712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Пронос/провоз, перемещение, хранение, применение, изготовление и распространение на территории Заказчика орудий промысла животных и ловли рыбы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20</w:t>
            </w:r>
          </w:p>
        </w:tc>
        <w:tc>
          <w:tcPr>
            <w:tcW w:w="66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1028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50</w:t>
            </w:r>
          </w:p>
        </w:tc>
        <w:tc>
          <w:tcPr>
            <w:tcW w:w="1312" w:type="dxa"/>
            <w:gridSpan w:val="2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80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100</w:t>
            </w:r>
          </w:p>
        </w:tc>
      </w:tr>
      <w:tr w:rsidR="00357136" w:rsidRPr="00357136" w:rsidTr="00357136">
        <w:trPr>
          <w:trHeight w:val="836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shd w:val="clear" w:color="auto" w:fill="auto"/>
          </w:tcPr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Пронос, провоз (включая попытку совершения указанных действий), хранение, распространение, транспортировка на территории Заказчика:</w:t>
            </w:r>
          </w:p>
          <w:p w:rsidR="00B77455" w:rsidRPr="00357136" w:rsidRDefault="00B77455" w:rsidP="00357136">
            <w:pPr>
              <w:pStyle w:val="a6"/>
              <w:numPr>
                <w:ilvl w:val="0"/>
                <w:numId w:val="30"/>
              </w:numPr>
              <w:tabs>
                <w:tab w:val="left" w:pos="210"/>
              </w:tabs>
              <w:ind w:left="68" w:right="33" w:firstLine="142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взрывчатых веществ и взрывных устройств, радиоактивных, легковоспламеняющихся, отравляющих, ядовитых, </w:t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lastRenderedPageBreak/>
              <w:t>сильнодействующих химически активных веществ, кроме случаев, санкционированных представителем Заказчика, при условии соблюдения установленных правил и норм безопасности при перевозке и хранении;</w:t>
            </w:r>
          </w:p>
          <w:p w:rsidR="00B77455" w:rsidRPr="00357136" w:rsidRDefault="00B77455" w:rsidP="00357136">
            <w:pPr>
              <w:pStyle w:val="a6"/>
              <w:numPr>
                <w:ilvl w:val="0"/>
                <w:numId w:val="30"/>
              </w:numPr>
              <w:tabs>
                <w:tab w:val="left" w:pos="306"/>
              </w:tabs>
              <w:ind w:left="68" w:right="33" w:firstLine="142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огнестрельного (в т. ч. охотничьего), газового, пневматического, холодного оружия и боеприпасов к нему, за исключением случаев, предусмотренных действующим законодательством Российской Федерации;</w:t>
            </w:r>
          </w:p>
          <w:p w:rsidR="00B77455" w:rsidRPr="00357136" w:rsidRDefault="00B77455" w:rsidP="00357136">
            <w:pPr>
              <w:pStyle w:val="a6"/>
              <w:numPr>
                <w:ilvl w:val="0"/>
                <w:numId w:val="30"/>
              </w:numPr>
              <w:tabs>
                <w:tab w:val="left" w:pos="306"/>
              </w:tabs>
              <w:ind w:left="68" w:right="33" w:firstLine="142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иных запрещенных в гражданском обороте веществ и предметов.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lastRenderedPageBreak/>
              <w:t>15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66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50</w:t>
            </w:r>
          </w:p>
        </w:tc>
        <w:tc>
          <w:tcPr>
            <w:tcW w:w="1028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312" w:type="dxa"/>
            <w:gridSpan w:val="2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150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200</w:t>
            </w:r>
          </w:p>
        </w:tc>
      </w:tr>
      <w:tr w:rsidR="00357136" w:rsidRPr="00357136" w:rsidTr="00357136">
        <w:trPr>
          <w:trHeight w:val="64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shd w:val="clear" w:color="auto" w:fill="auto"/>
          </w:tcPr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Привлечение к выполнению работ иностранных граждан, не имеющих регистрации по месту пребывания/месту жительства и (или) не имеющих разрешения на трудовую деятельность на территории Российской Федерации, а равно при отсутствии разрешения на привлечение иностранной рабочей силы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66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20</w:t>
            </w:r>
          </w:p>
        </w:tc>
        <w:tc>
          <w:tcPr>
            <w:tcW w:w="1028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1312" w:type="dxa"/>
            <w:gridSpan w:val="2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40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50</w:t>
            </w:r>
          </w:p>
        </w:tc>
      </w:tr>
      <w:tr w:rsidR="00357136" w:rsidRPr="00357136" w:rsidTr="00357136">
        <w:trPr>
          <w:trHeight w:val="64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Осуществление на территории Заказчика несанкционированного сбора, незаконного хранения пришедших в негодность или утративших свои потребительские свойства изделий из цветных и (или) черных металлов и их сплавов (в том числе хищение имущества </w:t>
            </w:r>
            <w:r w:rsid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                                  </w:t>
            </w:r>
            <w:r w:rsidR="00357136" w:rsidRPr="00357136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>ПАО «НК «Роснефть»</w:t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и </w:t>
            </w:r>
            <w:r w:rsidR="00357136"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ООО «РН-Пурнефтегаз»</w:t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).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15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66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50</w:t>
            </w:r>
          </w:p>
        </w:tc>
        <w:tc>
          <w:tcPr>
            <w:tcW w:w="1028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312" w:type="dxa"/>
            <w:gridSpan w:val="2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150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300</w:t>
            </w:r>
          </w:p>
        </w:tc>
      </w:tr>
      <w:tr w:rsidR="00357136" w:rsidRPr="00357136" w:rsidTr="00357136">
        <w:trPr>
          <w:trHeight w:val="64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shd w:val="clear" w:color="auto" w:fill="auto"/>
          </w:tcPr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Самовольная добыча общераспространенных полезных ископаемых (в том числе песок, гравий, глина, торф, сапропель) в пределах землеотвода Заказчика.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15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66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50</w:t>
            </w:r>
          </w:p>
        </w:tc>
        <w:tc>
          <w:tcPr>
            <w:tcW w:w="1028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312" w:type="dxa"/>
            <w:gridSpan w:val="2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150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200</w:t>
            </w:r>
          </w:p>
        </w:tc>
      </w:tr>
      <w:tr w:rsidR="00357136" w:rsidRPr="00357136" w:rsidTr="00357136">
        <w:trPr>
          <w:trHeight w:val="64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Отсутствие искрогасителя (за исключением ТС соответствующих экологическому классу не ниже «Евро </w:t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lastRenderedPageBreak/>
              <w:t>5»), документов (их копий, заверенных надлежащим образом) (паспорта, сертификата, конструкторской или технической документации от завода изготовителя), подтверждающих нали</w:t>
            </w:r>
            <w:r w:rsidR="000B28F6">
              <w:rPr>
                <w:rFonts w:ascii="Arial" w:hAnsi="Arial" w:cs="Arial"/>
                <w:color w:val="000000" w:themeColor="text1"/>
                <w:sz w:val="22"/>
                <w:szCs w:val="22"/>
              </w:rPr>
              <w:t>чие встроенного искрогасителя</w:t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</w:p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i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i/>
                <w:color w:val="000000" w:themeColor="text1"/>
                <w:sz w:val="22"/>
                <w:szCs w:val="22"/>
              </w:rPr>
              <w:t>Примечание:</w:t>
            </w:r>
          </w:p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Искрогаситель в нерабочем состоянии приравнивается к его отсутствию.</w:t>
            </w:r>
          </w:p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Последующее представление документов, подтверждающих наличие искрогасителя, опровергающих его нерабочее состояние является основанием для неприменения штрафа.</w:t>
            </w:r>
          </w:p>
        </w:tc>
        <w:tc>
          <w:tcPr>
            <w:tcW w:w="5486" w:type="dxa"/>
            <w:gridSpan w:val="7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lastRenderedPageBreak/>
              <w:t>100, но не более 10% от суммы договора</w:t>
            </w:r>
          </w:p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357136" w:rsidRPr="00357136" w:rsidTr="00357136">
        <w:trPr>
          <w:trHeight w:val="64"/>
          <w:jc w:val="center"/>
        </w:trPr>
        <w:tc>
          <w:tcPr>
            <w:tcW w:w="7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:rsidR="00B77455" w:rsidRPr="00357136" w:rsidRDefault="00B77455" w:rsidP="00357136">
            <w:pPr>
              <w:pStyle w:val="ab"/>
              <w:tabs>
                <w:tab w:val="left" w:pos="284"/>
              </w:tabs>
              <w:spacing w:after="0"/>
              <w:ind w:right="33"/>
              <w:jc w:val="both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  <w:lang w:eastAsia="en-US"/>
              </w:rPr>
              <w:t>Курение (табака, электронных сигарет, кальяна и т.д.) на территории Заказчика, за исключением специально выделенных и оборудованных мест в соответствии с требованиями нормативных документов по пожарной безопасности (знаки пожарной безопасности «Место курения» или «Курить здесь», металлическая урна для окурков, несгораемая поверхность пола на месте установки урны, огнетушитель, скамейка (при необходимости) и схемы, согласованные и утвержденные в установленном порядке).</w:t>
            </w:r>
          </w:p>
        </w:tc>
        <w:tc>
          <w:tcPr>
            <w:tcW w:w="5486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100, но не более 10% от суммы договора</w:t>
            </w:r>
          </w:p>
        </w:tc>
      </w:tr>
      <w:tr w:rsidR="00357136" w:rsidRPr="00357136" w:rsidTr="00357136">
        <w:trPr>
          <w:trHeight w:val="64"/>
          <w:jc w:val="center"/>
        </w:trPr>
        <w:tc>
          <w:tcPr>
            <w:tcW w:w="7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Разлив нефти, нефтепродуктов, подтоварной воды, скважинных жидкостей, кислоты, иных опасных веществ в пределах и/или за пределами промплощадки и/или места ведения работ, а также непринятие мер по немедленной ликвидации загрязнения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7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15</w:t>
            </w:r>
          </w:p>
        </w:tc>
        <w:tc>
          <w:tcPr>
            <w:tcW w:w="6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50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300</w:t>
            </w:r>
          </w:p>
        </w:tc>
        <w:tc>
          <w:tcPr>
            <w:tcW w:w="148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500</w:t>
            </w:r>
          </w:p>
        </w:tc>
      </w:tr>
      <w:tr w:rsidR="00357136" w:rsidRPr="00357136" w:rsidTr="00357136">
        <w:trPr>
          <w:trHeight w:val="64"/>
          <w:jc w:val="center"/>
        </w:trPr>
        <w:tc>
          <w:tcPr>
            <w:tcW w:w="7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Отсутствие либо неисправное состояние Видеорегистратора </w:t>
            </w:r>
          </w:p>
        </w:tc>
        <w:tc>
          <w:tcPr>
            <w:tcW w:w="5486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7455" w:rsidRPr="00357136" w:rsidRDefault="00FE59E7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100</w:t>
            </w:r>
          </w:p>
        </w:tc>
      </w:tr>
      <w:tr w:rsidR="00357136" w:rsidRPr="00357136" w:rsidTr="00357136">
        <w:trPr>
          <w:trHeight w:val="457"/>
          <w:jc w:val="center"/>
        </w:trPr>
        <w:tc>
          <w:tcPr>
            <w:tcW w:w="7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Отсутствие либо неисправное состояние БСМТС</w:t>
            </w:r>
          </w:p>
        </w:tc>
        <w:tc>
          <w:tcPr>
            <w:tcW w:w="5486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7455" w:rsidRPr="00357136" w:rsidRDefault="00FE59E7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100</w:t>
            </w:r>
          </w:p>
        </w:tc>
      </w:tr>
    </w:tbl>
    <w:p w:rsidR="00367703" w:rsidRPr="00357136" w:rsidRDefault="00367703" w:rsidP="0023534C">
      <w:pPr>
        <w:rPr>
          <w:rFonts w:ascii="Arial" w:hAnsi="Arial" w:cs="Arial"/>
          <w:color w:val="000000" w:themeColor="text1"/>
          <w:sz w:val="22"/>
          <w:szCs w:val="22"/>
        </w:rPr>
      </w:pPr>
    </w:p>
    <w:tbl>
      <w:tblPr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10065"/>
      </w:tblGrid>
      <w:tr w:rsidR="00357136" w:rsidRPr="00357136" w:rsidTr="00357136">
        <w:trPr>
          <w:trHeight w:val="300"/>
          <w:jc w:val="center"/>
        </w:trPr>
        <w:tc>
          <w:tcPr>
            <w:tcW w:w="10065" w:type="dxa"/>
            <w:shd w:val="clear" w:color="auto" w:fill="auto"/>
          </w:tcPr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Примечания:</w:t>
            </w:r>
          </w:p>
        </w:tc>
      </w:tr>
      <w:tr w:rsidR="00357136" w:rsidRPr="00357136" w:rsidTr="00357136">
        <w:trPr>
          <w:trHeight w:val="489"/>
          <w:jc w:val="center"/>
        </w:trPr>
        <w:tc>
          <w:tcPr>
            <w:tcW w:w="10065" w:type="dxa"/>
            <w:shd w:val="clear" w:color="auto" w:fill="auto"/>
          </w:tcPr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lastRenderedPageBreak/>
              <w:t>1. Штраф взыскивается за каждый факт нарушения. В случае если действие (бездействие) Исполнителя может быть квалифицировано по нескольким видам нарушений – оснований для взыскания штрафа, штраф взыскивается по одному основанию, предусматривающему наибольшую санкцию.</w:t>
            </w:r>
          </w:p>
        </w:tc>
      </w:tr>
      <w:tr w:rsidR="00357136" w:rsidRPr="00357136" w:rsidTr="00357136">
        <w:trPr>
          <w:trHeight w:val="541"/>
          <w:jc w:val="center"/>
        </w:trPr>
        <w:tc>
          <w:tcPr>
            <w:tcW w:w="10065" w:type="dxa"/>
            <w:shd w:val="clear" w:color="auto" w:fill="auto"/>
          </w:tcPr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2. В случае, если установлено нарушение двумя и более работниками Исполнителя, штраф взыскивается по факту (один факт соответствует нарушению одним работником). </w:t>
            </w:r>
          </w:p>
        </w:tc>
      </w:tr>
      <w:tr w:rsidR="00357136" w:rsidRPr="00357136" w:rsidTr="00357136">
        <w:trPr>
          <w:trHeight w:val="331"/>
          <w:jc w:val="center"/>
        </w:trPr>
        <w:tc>
          <w:tcPr>
            <w:tcW w:w="10065" w:type="dxa"/>
            <w:shd w:val="clear" w:color="auto" w:fill="auto"/>
          </w:tcPr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3. Штраф взыскивается сверх иных выплат, уплачиваемых в связи с причинением Заказчику убытков.</w:t>
            </w:r>
          </w:p>
        </w:tc>
      </w:tr>
      <w:tr w:rsidR="00357136" w:rsidRPr="00357136" w:rsidTr="00357136">
        <w:trPr>
          <w:trHeight w:val="683"/>
          <w:jc w:val="center"/>
        </w:trPr>
        <w:tc>
          <w:tcPr>
            <w:tcW w:w="10065" w:type="dxa"/>
            <w:shd w:val="clear" w:color="auto" w:fill="auto"/>
          </w:tcPr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4. По тексту Перечня понятием «Исполнитель»/ «работник/персонал Исполнителя» охватывается перечень лиц, включая лиц, с которыми Исполнитель, контрагент Исполнителя заключил трудовой договор, гражданско-правовой договор, иные лица, которые выполняют для Исполнителя/контрагента Исполнителя работы  на объектах Заказчика.</w:t>
            </w:r>
          </w:p>
        </w:tc>
      </w:tr>
      <w:tr w:rsidR="00357136" w:rsidRPr="00357136" w:rsidTr="00357136">
        <w:trPr>
          <w:trHeight w:val="490"/>
          <w:jc w:val="center"/>
        </w:trPr>
        <w:tc>
          <w:tcPr>
            <w:tcW w:w="10065" w:type="dxa"/>
            <w:shd w:val="clear" w:color="auto" w:fill="auto"/>
          </w:tcPr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5. Исполнитель отвечает за нарушения Субисполнителя (-ей), иных третьих лиц, выполняющих работы на производственных объектах или лицензионных участках Заказчика, как за свои собственные.</w:t>
            </w:r>
          </w:p>
        </w:tc>
      </w:tr>
      <w:tr w:rsidR="00357136" w:rsidRPr="00357136" w:rsidTr="00357136">
        <w:trPr>
          <w:trHeight w:val="478"/>
          <w:jc w:val="center"/>
        </w:trPr>
        <w:tc>
          <w:tcPr>
            <w:tcW w:w="10065" w:type="dxa"/>
            <w:shd w:val="clear" w:color="auto" w:fill="auto"/>
          </w:tcPr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6. Установленные выше размеры штрафа применяются в 1,5 – кратном размере, если в течение шести месяцев, предшествовавших совершению нарушения, Исполнителем совершались аналогичные нарушения, независимо от направления Заказчиком требований об уплате штрафа за ранее допущенные нарушения.</w:t>
            </w:r>
          </w:p>
        </w:tc>
      </w:tr>
      <w:tr w:rsidR="00357136" w:rsidRPr="00357136" w:rsidTr="00357136">
        <w:trPr>
          <w:trHeight w:val="557"/>
          <w:jc w:val="center"/>
        </w:trPr>
        <w:tc>
          <w:tcPr>
            <w:tcW w:w="10065" w:type="dxa"/>
            <w:shd w:val="clear" w:color="auto" w:fill="auto"/>
          </w:tcPr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7. Факт нарушения устанавливается актом, подписанным куратором договора, специалистом службы ПБОТОС и/или работником Заказчика, осуществляющим производственный контроль, либо третьим лицом, привлеченным Заказчиком для осуществления контроля (супервайзеры, лица осуществляющие технический надзор), и/или работниками предприятия, привлеченного для оказания охранных услуг, а также работником Исполнителя и/или представителем Исполнителя. Общее количество лиц, подписывающих акт, должно быть не менее двух человек.</w:t>
            </w:r>
          </w:p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В случае отказа работника Исполнителя от подписания акта, такой факт фиксируется в акте об отказе подписания и выявленных нарушениях и заверяется подписью свидетеля (-ей). Отказ работника Исполнителя 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для предъявления претензии и взыскания штрафа.</w:t>
            </w:r>
          </w:p>
        </w:tc>
      </w:tr>
      <w:tr w:rsidR="00357136" w:rsidRPr="00357136" w:rsidTr="00357136">
        <w:trPr>
          <w:trHeight w:val="1550"/>
          <w:jc w:val="center"/>
        </w:trPr>
        <w:tc>
          <w:tcPr>
            <w:tcW w:w="10065" w:type="dxa"/>
            <w:shd w:val="clear" w:color="auto" w:fill="auto"/>
          </w:tcPr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8. Факт нарушения может быть так же подтвержден иным документом, в том числе, но не ограничиваясь: </w:t>
            </w:r>
          </w:p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- актом – предписанием куратора договора, специалистом ПБОТОС, специалистом Заказчика, осуществляющим производственный контроль;</w:t>
            </w:r>
          </w:p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- </w:t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постановлением о приостановке работ, выданным куратором договора, специалистом ПБОТОС, специалистом Заказчика, осуществляющим производственный контроль;</w:t>
            </w:r>
          </w:p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- актом расследования причин происшествия, составленным комиссией по расследованию происшествия Заказчика с участием представителей Исполнителя;</w:t>
            </w:r>
          </w:p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- соответствующим актом или предписанием контролирующих и надзорных органов.</w:t>
            </w:r>
          </w:p>
        </w:tc>
      </w:tr>
      <w:tr w:rsidR="00357136" w:rsidRPr="00357136" w:rsidTr="00357136">
        <w:trPr>
          <w:trHeight w:val="213"/>
          <w:jc w:val="center"/>
        </w:trPr>
        <w:tc>
          <w:tcPr>
            <w:tcW w:w="10065" w:type="dxa"/>
            <w:shd w:val="clear" w:color="auto" w:fill="auto"/>
          </w:tcPr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9. В случае противоречий между условиями Договора и условиями настоящего Приложения применению подлежат условия настоящего Приложения.</w:t>
            </w:r>
          </w:p>
        </w:tc>
      </w:tr>
      <w:tr w:rsidR="00357136" w:rsidRPr="00357136" w:rsidTr="00357136">
        <w:trPr>
          <w:trHeight w:val="814"/>
          <w:jc w:val="center"/>
        </w:trPr>
        <w:tc>
          <w:tcPr>
            <w:tcW w:w="10065" w:type="dxa"/>
            <w:shd w:val="clear" w:color="auto" w:fill="auto"/>
          </w:tcPr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10. Стороны договорились о возможности прекращения обязательств Исполнителя по оплате возникших неустоек/пени и/или иных санкций или убытков по Договору путем их удержания из сумм, причитающихся Исполнителю в счет оплаты работ/услуг по Договору. Для реализации данного права Заказчику достаточно направить Исполнителю уведомление (заявление) об одностороннем зачете взаимных обязательств или включить соответствующее уведомление (заявление) в текст выставленной претензии.</w:t>
            </w:r>
          </w:p>
        </w:tc>
      </w:tr>
      <w:tr w:rsidR="00357136" w:rsidRPr="00357136" w:rsidTr="00357136">
        <w:trPr>
          <w:trHeight w:val="771"/>
          <w:jc w:val="center"/>
        </w:trPr>
        <w:tc>
          <w:tcPr>
            <w:tcW w:w="10065" w:type="dxa"/>
            <w:shd w:val="clear" w:color="auto" w:fill="auto"/>
          </w:tcPr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11. В случаях выявления представителями Исполнителя фактов нахождение на производственных объектах и лицензионных участках Заказчика работников Исполнителя /Субисполнителя в состоянии алкогольного, наркотического или токсического опьянения, </w:t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lastRenderedPageBreak/>
              <w:t>принятие соответствующих мер и своевременного сообщения о данных фактах в установленном порядке Заказчику, Заказчик вправе не предъявлять Исполнителю штрафные санкции.</w:t>
            </w:r>
          </w:p>
        </w:tc>
      </w:tr>
    </w:tbl>
    <w:p w:rsidR="00357136" w:rsidRPr="00357136" w:rsidRDefault="00357136" w:rsidP="00357136">
      <w:pPr>
        <w:rPr>
          <w:rFonts w:ascii="Arial" w:hAnsi="Arial" w:cs="Arial"/>
          <w:color w:val="000000" w:themeColor="text1"/>
          <w:sz w:val="22"/>
          <w:szCs w:val="22"/>
        </w:rPr>
      </w:pPr>
    </w:p>
    <w:p w:rsidR="00357136" w:rsidRPr="00357136" w:rsidRDefault="00357136" w:rsidP="0023534C">
      <w:pPr>
        <w:rPr>
          <w:rFonts w:ascii="Arial" w:hAnsi="Arial" w:cs="Arial"/>
          <w:color w:val="000000" w:themeColor="text1"/>
          <w:sz w:val="22"/>
          <w:szCs w:val="22"/>
        </w:rPr>
      </w:pPr>
    </w:p>
    <w:p w:rsidR="00357136" w:rsidRPr="00357136" w:rsidRDefault="00357136" w:rsidP="0023534C">
      <w:pPr>
        <w:rPr>
          <w:rFonts w:ascii="Arial" w:hAnsi="Arial" w:cs="Arial"/>
          <w:color w:val="000000" w:themeColor="text1"/>
          <w:sz w:val="22"/>
          <w:szCs w:val="22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5211"/>
        <w:gridCol w:w="284"/>
        <w:gridCol w:w="4961"/>
      </w:tblGrid>
      <w:tr w:rsidR="0023534C" w:rsidRPr="00357136" w:rsidTr="00CF4F89">
        <w:tc>
          <w:tcPr>
            <w:tcW w:w="5211" w:type="dxa"/>
            <w:shd w:val="clear" w:color="auto" w:fill="auto"/>
          </w:tcPr>
          <w:p w:rsidR="0023534C" w:rsidRPr="00357136" w:rsidRDefault="0023534C" w:rsidP="00650B05">
            <w:pPr>
              <w:tabs>
                <w:tab w:val="left" w:pos="9923"/>
              </w:tabs>
              <w:ind w:firstLine="1313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instrText xml:space="preserve"> FORMTEXT </w:instrText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fldChar w:fldCharType="separate"/>
            </w:r>
            <w:r w:rsidR="00650B05"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  <w:t>Покупатель:</w:t>
            </w:r>
            <w:bookmarkStart w:id="1" w:name="_GoBack"/>
            <w:bookmarkEnd w:id="1"/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fldChar w:fldCharType="end"/>
            </w:r>
          </w:p>
        </w:tc>
        <w:tc>
          <w:tcPr>
            <w:tcW w:w="284" w:type="dxa"/>
            <w:shd w:val="clear" w:color="auto" w:fill="auto"/>
          </w:tcPr>
          <w:p w:rsidR="0023534C" w:rsidRPr="00357136" w:rsidRDefault="00357136" w:rsidP="00CF4F89">
            <w:pPr>
              <w:tabs>
                <w:tab w:val="left" w:pos="9923"/>
              </w:tabs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                 </w:t>
            </w:r>
          </w:p>
        </w:tc>
        <w:tc>
          <w:tcPr>
            <w:tcW w:w="4961" w:type="dxa"/>
          </w:tcPr>
          <w:p w:rsidR="0023534C" w:rsidRPr="00357136" w:rsidRDefault="0023534C" w:rsidP="00CF4F89">
            <w:pPr>
              <w:tabs>
                <w:tab w:val="left" w:pos="9923"/>
              </w:tabs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instrText xml:space="preserve"> FORMTEXT </w:instrText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fldChar w:fldCharType="separate"/>
            </w:r>
            <w:r w:rsidRPr="00357136"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  <w:t> </w:t>
            </w:r>
            <w:r w:rsidRPr="00357136"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  <w:t> </w:t>
            </w:r>
            <w:r w:rsidRPr="00357136"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  <w:t> </w:t>
            </w:r>
            <w:r w:rsidRPr="00357136"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  <w:t> </w:t>
            </w:r>
            <w:r w:rsidRPr="00357136"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  <w:t> </w:t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fldChar w:fldCharType="end"/>
            </w:r>
          </w:p>
        </w:tc>
      </w:tr>
    </w:tbl>
    <w:p w:rsidR="00F57858" w:rsidRPr="00357136" w:rsidRDefault="00F57858" w:rsidP="00B01002">
      <w:pPr>
        <w:rPr>
          <w:rFonts w:ascii="Arial" w:hAnsi="Arial" w:cs="Arial"/>
          <w:color w:val="000000" w:themeColor="text1"/>
          <w:sz w:val="22"/>
          <w:szCs w:val="22"/>
        </w:rPr>
      </w:pPr>
    </w:p>
    <w:p w:rsidR="00B77455" w:rsidRPr="00357136" w:rsidRDefault="00B77455">
      <w:pPr>
        <w:rPr>
          <w:rFonts w:ascii="Arial" w:hAnsi="Arial" w:cs="Arial"/>
          <w:color w:val="000000" w:themeColor="text1"/>
          <w:sz w:val="22"/>
          <w:szCs w:val="22"/>
        </w:rPr>
      </w:pPr>
    </w:p>
    <w:sectPr w:rsidR="00B77455" w:rsidRPr="00357136" w:rsidSect="00357136">
      <w:headerReference w:type="default" r:id="rId7"/>
      <w:pgSz w:w="11906" w:h="16838"/>
      <w:pgMar w:top="567" w:right="707" w:bottom="567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49E1" w:rsidRDefault="004949E1" w:rsidP="004949E1">
      <w:r>
        <w:separator/>
      </w:r>
    </w:p>
  </w:endnote>
  <w:endnote w:type="continuationSeparator" w:id="0">
    <w:p w:rsidR="004949E1" w:rsidRDefault="004949E1" w:rsidP="004949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49E1" w:rsidRDefault="004949E1" w:rsidP="004949E1">
      <w:r>
        <w:separator/>
      </w:r>
    </w:p>
  </w:footnote>
  <w:footnote w:type="continuationSeparator" w:id="0">
    <w:p w:rsidR="004949E1" w:rsidRDefault="004949E1" w:rsidP="004949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49E1" w:rsidRDefault="00650B05">
    <w:pPr>
      <w:pStyle w:val="af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39.5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ООО &quot;РН-Пурнефтегаз&quot;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90EE6F0A"/>
    <w:lvl w:ilvl="0">
      <w:start w:val="1"/>
      <w:numFmt w:val="decimal"/>
      <w:suff w:val="space"/>
      <w:lvlText w:val="%1."/>
      <w:lvlJc w:val="left"/>
      <w:pPr>
        <w:ind w:left="0" w:firstLine="397"/>
      </w:pPr>
      <w:rPr>
        <w:rFonts w:hint="default"/>
      </w:rPr>
    </w:lvl>
  </w:abstractNum>
  <w:abstractNum w:abstractNumId="1" w15:restartNumberingAfterBreak="0">
    <w:nsid w:val="FFFFFF89"/>
    <w:multiLevelType w:val="singleLevel"/>
    <w:tmpl w:val="57248D84"/>
    <w:lvl w:ilvl="0">
      <w:start w:val="1"/>
      <w:numFmt w:val="bullet"/>
      <w:suff w:val="space"/>
      <w:lvlText w:val=""/>
      <w:lvlJc w:val="left"/>
      <w:pPr>
        <w:ind w:left="0" w:firstLine="454"/>
      </w:pPr>
      <w:rPr>
        <w:rFonts w:ascii="Symbol" w:hAnsi="Symbol" w:hint="default"/>
      </w:rPr>
    </w:lvl>
  </w:abstractNum>
  <w:abstractNum w:abstractNumId="2" w15:restartNumberingAfterBreak="0">
    <w:nsid w:val="01154167"/>
    <w:multiLevelType w:val="hybridMultilevel"/>
    <w:tmpl w:val="660EA732"/>
    <w:lvl w:ilvl="0" w:tplc="C0983F54">
      <w:start w:val="1"/>
      <w:numFmt w:val="bullet"/>
      <w:suff w:val="space"/>
      <w:lvlText w:val="-"/>
      <w:lvlJc w:val="left"/>
      <w:pPr>
        <w:ind w:left="0" w:firstLine="70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95E7ABC"/>
    <w:multiLevelType w:val="hybridMultilevel"/>
    <w:tmpl w:val="A216A1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3415C9"/>
    <w:multiLevelType w:val="hybridMultilevel"/>
    <w:tmpl w:val="30520646"/>
    <w:lvl w:ilvl="0" w:tplc="04190005">
      <w:start w:val="1"/>
      <w:numFmt w:val="bullet"/>
      <w:lvlText w:val=""/>
      <w:lvlJc w:val="left"/>
      <w:pPr>
        <w:ind w:left="93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5" w15:restartNumberingAfterBreak="0">
    <w:nsid w:val="0FD925B4"/>
    <w:multiLevelType w:val="hybridMultilevel"/>
    <w:tmpl w:val="502AAA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29C1FF8"/>
    <w:multiLevelType w:val="hybridMultilevel"/>
    <w:tmpl w:val="6C5A4B2E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7" w15:restartNumberingAfterBreak="0">
    <w:nsid w:val="1ED46BDD"/>
    <w:multiLevelType w:val="hybridMultilevel"/>
    <w:tmpl w:val="A8BCBB6C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8" w15:restartNumberingAfterBreak="0">
    <w:nsid w:val="21BF667A"/>
    <w:multiLevelType w:val="hybridMultilevel"/>
    <w:tmpl w:val="62C0B6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187092"/>
    <w:multiLevelType w:val="hybridMultilevel"/>
    <w:tmpl w:val="C55286BE"/>
    <w:lvl w:ilvl="0" w:tplc="226CF3AE">
      <w:start w:val="1"/>
      <w:numFmt w:val="bullet"/>
      <w:suff w:val="space"/>
      <w:lvlText w:val=""/>
      <w:lvlJc w:val="left"/>
      <w:pPr>
        <w:ind w:left="0" w:firstLine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062C73"/>
    <w:multiLevelType w:val="hybridMultilevel"/>
    <w:tmpl w:val="B9429C98"/>
    <w:lvl w:ilvl="0" w:tplc="E88CF4D8">
      <w:start w:val="1"/>
      <w:numFmt w:val="bullet"/>
      <w:suff w:val="space"/>
      <w:lvlText w:val=""/>
      <w:lvlJc w:val="left"/>
      <w:pPr>
        <w:ind w:left="0" w:firstLine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964CE8"/>
    <w:multiLevelType w:val="hybridMultilevel"/>
    <w:tmpl w:val="9858FA7E"/>
    <w:lvl w:ilvl="0" w:tplc="E162F692">
      <w:start w:val="1"/>
      <w:numFmt w:val="bullet"/>
      <w:pStyle w:val="a"/>
      <w:suff w:val="space"/>
      <w:lvlText w:val="-"/>
      <w:lvlJc w:val="left"/>
      <w:pPr>
        <w:ind w:left="0" w:firstLine="70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3ABD2D14"/>
    <w:multiLevelType w:val="hybridMultilevel"/>
    <w:tmpl w:val="7654DEAE"/>
    <w:lvl w:ilvl="0" w:tplc="33CC6CC2">
      <w:start w:val="1"/>
      <w:numFmt w:val="decimal"/>
      <w:pStyle w:val="a0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3D442109"/>
    <w:multiLevelType w:val="hybridMultilevel"/>
    <w:tmpl w:val="F9EC655E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4" w15:restartNumberingAfterBreak="0">
    <w:nsid w:val="567512E9"/>
    <w:multiLevelType w:val="hybridMultilevel"/>
    <w:tmpl w:val="0AA6DD92"/>
    <w:lvl w:ilvl="0" w:tplc="E6C22532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5953205D"/>
    <w:multiLevelType w:val="hybridMultilevel"/>
    <w:tmpl w:val="2A9C1B90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512F6C"/>
    <w:multiLevelType w:val="hybridMultilevel"/>
    <w:tmpl w:val="5D2E1E4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24202A"/>
    <w:multiLevelType w:val="hybridMultilevel"/>
    <w:tmpl w:val="29B44C1A"/>
    <w:lvl w:ilvl="0" w:tplc="C6F2AEF6">
      <w:start w:val="1"/>
      <w:numFmt w:val="bullet"/>
      <w:lvlText w:val=""/>
      <w:lvlJc w:val="left"/>
      <w:pPr>
        <w:tabs>
          <w:tab w:val="num" w:pos="720"/>
        </w:tabs>
        <w:ind w:left="0" w:firstLine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C69DF"/>
    <w:multiLevelType w:val="hybridMultilevel"/>
    <w:tmpl w:val="C4709A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D45D0B"/>
    <w:multiLevelType w:val="hybridMultilevel"/>
    <w:tmpl w:val="5088FC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A36DFF"/>
    <w:multiLevelType w:val="hybridMultilevel"/>
    <w:tmpl w:val="490CDB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130581"/>
    <w:multiLevelType w:val="hybridMultilevel"/>
    <w:tmpl w:val="C25E44C0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9"/>
  </w:num>
  <w:num w:numId="4">
    <w:abstractNumId w:val="19"/>
  </w:num>
  <w:num w:numId="5">
    <w:abstractNumId w:val="20"/>
  </w:num>
  <w:num w:numId="6">
    <w:abstractNumId w:val="17"/>
  </w:num>
  <w:num w:numId="7">
    <w:abstractNumId w:val="10"/>
  </w:num>
  <w:num w:numId="8">
    <w:abstractNumId w:val="8"/>
  </w:num>
  <w:num w:numId="9">
    <w:abstractNumId w:val="21"/>
  </w:num>
  <w:num w:numId="10">
    <w:abstractNumId w:val="7"/>
  </w:num>
  <w:num w:numId="11">
    <w:abstractNumId w:val="13"/>
  </w:num>
  <w:num w:numId="12">
    <w:abstractNumId w:val="6"/>
  </w:num>
  <w:num w:numId="13">
    <w:abstractNumId w:val="18"/>
  </w:num>
  <w:num w:numId="14">
    <w:abstractNumId w:val="1"/>
  </w:num>
  <w:num w:numId="15">
    <w:abstractNumId w:val="0"/>
  </w:num>
  <w:num w:numId="16">
    <w:abstractNumId w:val="1"/>
  </w:num>
  <w:num w:numId="17">
    <w:abstractNumId w:val="0"/>
  </w:num>
  <w:num w:numId="18">
    <w:abstractNumId w:val="2"/>
  </w:num>
  <w:num w:numId="19">
    <w:abstractNumId w:val="14"/>
  </w:num>
  <w:num w:numId="20">
    <w:abstractNumId w:val="2"/>
  </w:num>
  <w:num w:numId="21">
    <w:abstractNumId w:val="14"/>
  </w:num>
  <w:num w:numId="22">
    <w:abstractNumId w:val="2"/>
  </w:num>
  <w:num w:numId="23">
    <w:abstractNumId w:val="14"/>
  </w:num>
  <w:num w:numId="24">
    <w:abstractNumId w:val="11"/>
  </w:num>
  <w:num w:numId="25">
    <w:abstractNumId w:val="12"/>
  </w:num>
  <w:num w:numId="26">
    <w:abstractNumId w:val="3"/>
  </w:num>
  <w:num w:numId="27">
    <w:abstractNumId w:val="5"/>
  </w:num>
  <w:num w:numId="28">
    <w:abstractNumId w:val="15"/>
  </w:num>
  <w:num w:numId="29">
    <w:abstractNumId w:val="16"/>
  </w:num>
  <w:num w:numId="30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1" w:cryptProviderType="rsaAES" w:cryptAlgorithmClass="hash" w:cryptAlgorithmType="typeAny" w:cryptAlgorithmSid="14" w:cryptSpinCount="100000" w:hash="/lekWKaTeUDpt0QAAqdq5cTBKrpFx+3TiijVEdQlzwsWc20s1ZU1nebnAXfTEU56pF5z8CIOI5FSJavJelmp7Q==" w:salt="+Br4NlUwSP2HP7nIYLBrCg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34C"/>
    <w:rsid w:val="000209E1"/>
    <w:rsid w:val="000B28F6"/>
    <w:rsid w:val="001616CD"/>
    <w:rsid w:val="001710DE"/>
    <w:rsid w:val="0023534C"/>
    <w:rsid w:val="002B4ED0"/>
    <w:rsid w:val="00355D73"/>
    <w:rsid w:val="00357136"/>
    <w:rsid w:val="00367703"/>
    <w:rsid w:val="003764B8"/>
    <w:rsid w:val="003B0467"/>
    <w:rsid w:val="004949E1"/>
    <w:rsid w:val="0049621F"/>
    <w:rsid w:val="004B6D9E"/>
    <w:rsid w:val="004E480B"/>
    <w:rsid w:val="00537B4E"/>
    <w:rsid w:val="00631F71"/>
    <w:rsid w:val="00650B05"/>
    <w:rsid w:val="0068600C"/>
    <w:rsid w:val="00696FE9"/>
    <w:rsid w:val="006A51B7"/>
    <w:rsid w:val="00734A1B"/>
    <w:rsid w:val="007350BA"/>
    <w:rsid w:val="00754566"/>
    <w:rsid w:val="00765ADB"/>
    <w:rsid w:val="008A7F45"/>
    <w:rsid w:val="008D2B05"/>
    <w:rsid w:val="009C0773"/>
    <w:rsid w:val="009E0D13"/>
    <w:rsid w:val="00A23B8C"/>
    <w:rsid w:val="00B01002"/>
    <w:rsid w:val="00B715F3"/>
    <w:rsid w:val="00B77455"/>
    <w:rsid w:val="00B845AC"/>
    <w:rsid w:val="00BB5DD8"/>
    <w:rsid w:val="00BD058F"/>
    <w:rsid w:val="00C920D3"/>
    <w:rsid w:val="00CE1126"/>
    <w:rsid w:val="00D020A7"/>
    <w:rsid w:val="00D73874"/>
    <w:rsid w:val="00DA1937"/>
    <w:rsid w:val="00DC283A"/>
    <w:rsid w:val="00E1705D"/>
    <w:rsid w:val="00E8756E"/>
    <w:rsid w:val="00ED0D53"/>
    <w:rsid w:val="00F53A97"/>
    <w:rsid w:val="00F57858"/>
    <w:rsid w:val="00FE5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E03F178"/>
  <w15:chartTrackingRefBased/>
  <w15:docId w15:val="{86CD1460-2AE5-4A3B-AAF8-A3A553E31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iPriority="74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23534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1"/>
    <w:next w:val="a1"/>
    <w:link w:val="10"/>
    <w:uiPriority w:val="9"/>
    <w:qFormat/>
    <w:rsid w:val="00DA1937"/>
    <w:pPr>
      <w:keepNext/>
      <w:keepLines/>
      <w:outlineLvl w:val="0"/>
    </w:pPr>
    <w:rPr>
      <w:rFonts w:eastAsiaTheme="majorEastAsia" w:cstheme="majorBidi"/>
      <w:b/>
      <w:szCs w:val="32"/>
    </w:rPr>
  </w:style>
  <w:style w:type="paragraph" w:styleId="2">
    <w:name w:val="heading 2"/>
    <w:basedOn w:val="a1"/>
    <w:next w:val="a1"/>
    <w:link w:val="20"/>
    <w:uiPriority w:val="9"/>
    <w:unhideWhenUsed/>
    <w:qFormat/>
    <w:rsid w:val="00DA1937"/>
    <w:pPr>
      <w:keepNext/>
      <w:keepLines/>
      <w:outlineLvl w:val="1"/>
    </w:pPr>
    <w:rPr>
      <w:rFonts w:eastAsiaTheme="majorEastAsia" w:cstheme="majorBidi"/>
      <w:b/>
      <w:szCs w:val="26"/>
    </w:rPr>
  </w:style>
  <w:style w:type="paragraph" w:styleId="3">
    <w:name w:val="heading 3"/>
    <w:basedOn w:val="a1"/>
    <w:next w:val="a1"/>
    <w:link w:val="30"/>
    <w:uiPriority w:val="9"/>
    <w:semiHidden/>
    <w:unhideWhenUsed/>
    <w:rsid w:val="006A51B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60041B" w:themeColor="accent1" w:themeShade="7F"/>
      <w:szCs w:val="24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DA193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910629" w:themeColor="accent1" w:themeShade="BF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No Spacing"/>
    <w:uiPriority w:val="1"/>
    <w:rsid w:val="000209E1"/>
  </w:style>
  <w:style w:type="character" w:customStyle="1" w:styleId="10">
    <w:name w:val="Заголовок 1 Знак"/>
    <w:basedOn w:val="a2"/>
    <w:link w:val="1"/>
    <w:uiPriority w:val="9"/>
    <w:rsid w:val="00DA1937"/>
    <w:rPr>
      <w:rFonts w:ascii="Arial" w:eastAsiaTheme="majorEastAsia" w:hAnsi="Arial" w:cstheme="majorBidi"/>
      <w:b/>
      <w:szCs w:val="32"/>
    </w:rPr>
  </w:style>
  <w:style w:type="character" w:customStyle="1" w:styleId="20">
    <w:name w:val="Заголовок 2 Знак"/>
    <w:basedOn w:val="a2"/>
    <w:link w:val="2"/>
    <w:uiPriority w:val="9"/>
    <w:rsid w:val="00DA1937"/>
    <w:rPr>
      <w:rFonts w:ascii="Arial" w:eastAsiaTheme="majorEastAsia" w:hAnsi="Arial" w:cstheme="majorBidi"/>
      <w:b/>
      <w:szCs w:val="26"/>
    </w:rPr>
  </w:style>
  <w:style w:type="character" w:customStyle="1" w:styleId="30">
    <w:name w:val="Заголовок 3 Знак"/>
    <w:basedOn w:val="a2"/>
    <w:link w:val="3"/>
    <w:uiPriority w:val="9"/>
    <w:semiHidden/>
    <w:rsid w:val="006A51B7"/>
    <w:rPr>
      <w:rFonts w:asciiTheme="majorHAnsi" w:eastAsiaTheme="majorEastAsia" w:hAnsiTheme="majorHAnsi" w:cstheme="majorBidi"/>
      <w:color w:val="60041B" w:themeColor="accent1" w:themeShade="7F"/>
      <w:sz w:val="24"/>
      <w:szCs w:val="24"/>
    </w:rPr>
  </w:style>
  <w:style w:type="character" w:customStyle="1" w:styleId="40">
    <w:name w:val="Заголовок 4 Знак"/>
    <w:basedOn w:val="a2"/>
    <w:link w:val="4"/>
    <w:uiPriority w:val="9"/>
    <w:semiHidden/>
    <w:rsid w:val="00DA1937"/>
    <w:rPr>
      <w:rFonts w:asciiTheme="majorHAnsi" w:eastAsiaTheme="majorEastAsia" w:hAnsiTheme="majorHAnsi" w:cstheme="majorBidi"/>
      <w:i/>
      <w:iCs/>
      <w:color w:val="910629" w:themeColor="accent1" w:themeShade="BF"/>
      <w:sz w:val="24"/>
    </w:rPr>
  </w:style>
  <w:style w:type="paragraph" w:styleId="a">
    <w:name w:val="List Bullet"/>
    <w:basedOn w:val="a0"/>
    <w:uiPriority w:val="99"/>
    <w:qFormat/>
    <w:rsid w:val="00DA1937"/>
    <w:pPr>
      <w:numPr>
        <w:numId w:val="24"/>
      </w:numPr>
    </w:pPr>
  </w:style>
  <w:style w:type="paragraph" w:styleId="a0">
    <w:name w:val="List Number"/>
    <w:basedOn w:val="a1"/>
    <w:uiPriority w:val="74"/>
    <w:qFormat/>
    <w:rsid w:val="00DA1937"/>
    <w:pPr>
      <w:numPr>
        <w:numId w:val="25"/>
      </w:numPr>
      <w:contextualSpacing/>
    </w:pPr>
  </w:style>
  <w:style w:type="paragraph" w:styleId="a6">
    <w:name w:val="List Paragraph"/>
    <w:aliases w:val="Мой Список,Bullet_IRAO,List Paragraph_0,List Paragraph,Нумерованый список,Numbering 2,FooterText,Bullet List,numbered,Paragraphe de liste1,Bulletr List Paragraph,列出段落,列出段落1,Listeafsnit1,Parágrafo da Lista1,List Paragraph2,List Paragraph21"/>
    <w:basedOn w:val="a1"/>
    <w:link w:val="a7"/>
    <w:uiPriority w:val="34"/>
    <w:qFormat/>
    <w:rsid w:val="008A7F45"/>
    <w:pPr>
      <w:ind w:left="720"/>
      <w:contextualSpacing/>
    </w:pPr>
  </w:style>
  <w:style w:type="paragraph" w:customStyle="1" w:styleId="a8">
    <w:name w:val="Без отсутпа"/>
    <w:qFormat/>
    <w:rsid w:val="00DA1937"/>
    <w:pPr>
      <w:jc w:val="both"/>
    </w:pPr>
    <w:rPr>
      <w:rFonts w:ascii="Arial" w:hAnsi="Arial"/>
    </w:rPr>
  </w:style>
  <w:style w:type="paragraph" w:customStyle="1" w:styleId="a9">
    <w:name w:val="По центру"/>
    <w:basedOn w:val="a8"/>
    <w:qFormat/>
    <w:rsid w:val="00DA1937"/>
    <w:pPr>
      <w:jc w:val="center"/>
    </w:pPr>
  </w:style>
  <w:style w:type="paragraph" w:customStyle="1" w:styleId="aa">
    <w:name w:val="По центру Ж"/>
    <w:basedOn w:val="a8"/>
    <w:qFormat/>
    <w:rsid w:val="00DA1937"/>
    <w:pPr>
      <w:jc w:val="center"/>
    </w:pPr>
    <w:rPr>
      <w:b/>
    </w:rPr>
  </w:style>
  <w:style w:type="paragraph" w:styleId="ab">
    <w:name w:val="Body Text"/>
    <w:basedOn w:val="a1"/>
    <w:link w:val="ac"/>
    <w:rsid w:val="00B77455"/>
    <w:pPr>
      <w:spacing w:after="120"/>
    </w:pPr>
    <w:rPr>
      <w:szCs w:val="24"/>
    </w:rPr>
  </w:style>
  <w:style w:type="character" w:customStyle="1" w:styleId="ac">
    <w:name w:val="Основной текст Знак"/>
    <w:basedOn w:val="a2"/>
    <w:link w:val="ab"/>
    <w:rsid w:val="00B774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aliases w:val="Мой Список Знак,Bullet_IRAO Знак,List Paragraph_0 Знак,List Paragraph Знак,Нумерованый список Знак,Numbering 2 Знак,FooterText Знак,Bullet List Знак,numbered Знак,Paragraphe de liste1 Знак,Bulletr List Paragraph Знак,列出段落 Знак"/>
    <w:link w:val="a6"/>
    <w:uiPriority w:val="34"/>
    <w:qFormat/>
    <w:locked/>
    <w:rsid w:val="00B7745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B77455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2"/>
    <w:link w:val="ad"/>
    <w:uiPriority w:val="99"/>
    <w:semiHidden/>
    <w:rsid w:val="00B77455"/>
    <w:rPr>
      <w:rFonts w:ascii="Segoe UI" w:eastAsia="Times New Roman" w:hAnsi="Segoe UI" w:cs="Segoe UI"/>
      <w:sz w:val="18"/>
      <w:szCs w:val="18"/>
      <w:lang w:eastAsia="ru-RU"/>
    </w:rPr>
  </w:style>
  <w:style w:type="paragraph" w:styleId="af">
    <w:name w:val="header"/>
    <w:basedOn w:val="a1"/>
    <w:link w:val="af0"/>
    <w:uiPriority w:val="99"/>
    <w:unhideWhenUsed/>
    <w:rsid w:val="004949E1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2"/>
    <w:link w:val="af"/>
    <w:uiPriority w:val="99"/>
    <w:rsid w:val="004949E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1">
    <w:name w:val="footer"/>
    <w:basedOn w:val="a1"/>
    <w:link w:val="af2"/>
    <w:uiPriority w:val="99"/>
    <w:unhideWhenUsed/>
    <w:rsid w:val="004949E1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2"/>
    <w:link w:val="af1"/>
    <w:uiPriority w:val="99"/>
    <w:rsid w:val="004949E1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507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НК РН">
      <a:dk1>
        <a:srgbClr val="000000"/>
      </a:dk1>
      <a:lt1>
        <a:srgbClr val="FFFFFF"/>
      </a:lt1>
      <a:dk2>
        <a:srgbClr val="EF6B01"/>
      </a:dk2>
      <a:lt2>
        <a:srgbClr val="F9BD27"/>
      </a:lt2>
      <a:accent1>
        <a:srgbClr val="C20937"/>
      </a:accent1>
      <a:accent2>
        <a:srgbClr val="F6D106"/>
      </a:accent2>
      <a:accent3>
        <a:srgbClr val="475B79"/>
      </a:accent3>
      <a:accent4>
        <a:srgbClr val="6985AF"/>
      </a:accent4>
      <a:accent5>
        <a:srgbClr val="95A0B2"/>
      </a:accent5>
      <a:accent6>
        <a:srgbClr val="3D464A"/>
      </a:accent6>
      <a:hlink>
        <a:srgbClr val="00B0F0"/>
      </a:hlink>
      <a:folHlink>
        <a:srgbClr val="7030A0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1598</Words>
  <Characters>9113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10690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Галимзянова Гузель Разилевна</dc:creator>
  <cp:keywords/>
  <dc:description/>
  <cp:lastModifiedBy>Паршикова Яна Вячеславовна</cp:lastModifiedBy>
  <cp:revision>3</cp:revision>
  <cp:lastPrinted>2024-02-09T11:41:00Z</cp:lastPrinted>
  <dcterms:created xsi:type="dcterms:W3CDTF">2024-06-11T06:07:00Z</dcterms:created>
  <dcterms:modified xsi:type="dcterms:W3CDTF">2024-09-24T12:15:00Z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PcVM2i4uXWFX00002X164G</vt:lpwstr>
  </property>
</Properties>
</file>